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8B3950" w14:textId="14936489" w:rsidR="007E2B5F" w:rsidRDefault="007D0AE8">
      <w:r w:rsidRPr="0083235D">
        <w:rPr>
          <w:rFonts w:ascii="Arial" w:hAnsi="Arial" w:cs="Arial"/>
          <w:noProof/>
          <w:sz w:val="40"/>
          <w:szCs w:val="40"/>
        </w:rPr>
        <mc:AlternateContent>
          <mc:Choice Requires="wps">
            <w:drawing>
              <wp:anchor distT="0" distB="0" distL="114300" distR="114300" simplePos="0" relativeHeight="251661312" behindDoc="0" locked="0" layoutInCell="1" allowOverlap="1" wp14:anchorId="3ED5DADF" wp14:editId="1860F6F7">
                <wp:simplePos x="0" y="0"/>
                <wp:positionH relativeFrom="column">
                  <wp:posOffset>4051935</wp:posOffset>
                </wp:positionH>
                <wp:positionV relativeFrom="paragraph">
                  <wp:posOffset>2540</wp:posOffset>
                </wp:positionV>
                <wp:extent cx="2853055" cy="412750"/>
                <wp:effectExtent l="0" t="0" r="0" b="0"/>
                <wp:wrapSquare wrapText="bothSides"/>
                <wp:docPr id="7" name="TextBox 6"/>
                <wp:cNvGraphicFramePr/>
                <a:graphic xmlns:a="http://schemas.openxmlformats.org/drawingml/2006/main">
                  <a:graphicData uri="http://schemas.microsoft.com/office/word/2010/wordprocessingShape">
                    <wps:wsp>
                      <wps:cNvSpPr txBox="1"/>
                      <wps:spPr>
                        <a:xfrm>
                          <a:off x="0" y="0"/>
                          <a:ext cx="2853055" cy="412750"/>
                        </a:xfrm>
                        <a:prstGeom prst="rect">
                          <a:avLst/>
                        </a:prstGeom>
                        <a:noFill/>
                      </wps:spPr>
                      <wps:txbx>
                        <w:txbxContent>
                          <w:p w14:paraId="63E5C456" w14:textId="77777777" w:rsidR="00125B85" w:rsidRPr="000175AC" w:rsidRDefault="00125B85" w:rsidP="0083235D">
                            <w:pPr>
                              <w:pStyle w:val="NormalWeb"/>
                              <w:spacing w:before="0" w:beforeAutospacing="0" w:after="0" w:afterAutospacing="0"/>
                              <w:rPr>
                                <w:rFonts w:ascii="Arial" w:hAnsi="Arial" w:cs="Arial"/>
                                <w:color w:val="244061" w:themeColor="accent1" w:themeShade="80"/>
                                <w:sz w:val="44"/>
                                <w:szCs w:val="44"/>
                              </w:rPr>
                            </w:pPr>
                            <w:r w:rsidRPr="000175AC">
                              <w:rPr>
                                <w:rFonts w:ascii="Arial" w:hAnsi="Arial" w:cs="Arial"/>
                                <w:b/>
                                <w:bCs/>
                                <w:color w:val="244061" w:themeColor="accent1" w:themeShade="80"/>
                                <w:kern w:val="24"/>
                                <w:sz w:val="44"/>
                                <w:szCs w:val="44"/>
                              </w:rPr>
                              <w:t>Product Description</w:t>
                            </w:r>
                          </w:p>
                        </w:txbxContent>
                      </wps:txbx>
                      <wps:bodyPr wrap="none" rtlCol="0">
                        <a:spAutoFit/>
                      </wps:bodyPr>
                    </wps:wsp>
                  </a:graphicData>
                </a:graphic>
              </wp:anchor>
            </w:drawing>
          </mc:Choice>
          <mc:Fallback>
            <w:pict>
              <v:shapetype id="_x0000_t202" coordsize="21600,21600" o:spt="202" path="m0,0l0,21600,21600,21600,21600,0xe">
                <v:stroke joinstyle="miter"/>
                <v:path gradientshapeok="t" o:connecttype="rect"/>
              </v:shapetype>
              <v:shape id="TextBox 6" o:spid="_x0000_s1026" type="#_x0000_t202" style="position:absolute;margin-left:319.05pt;margin-top:.2pt;width:224.65pt;height:32.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" filled="f" stroked="f">
                <v:textbox style="mso-fit-shape-to-text:t">
                  <w:txbxContent>
                    <w:p w14:paraId="63E5C456" w14:textId="77777777" w:rsidR="00125B85" w:rsidRPr="000175AC" w:rsidRDefault="00125B85" w:rsidP="0083235D">
                      <w:pPr>
                        <w:pStyle w:val="NormalWeb"/>
                        <w:spacing w:before="0" w:beforeAutospacing="0" w:after="0" w:afterAutospacing="0"/>
                        <w:rPr>
                          <w:rFonts w:ascii="Arial" w:hAnsi="Arial" w:cs="Arial"/>
                          <w:color w:val="244061" w:themeColor="accent1" w:themeShade="80"/>
                          <w:sz w:val="44"/>
                          <w:szCs w:val="44"/>
                        </w:rPr>
                      </w:pPr>
                      <w:r w:rsidRPr="000175AC">
                        <w:rPr>
                          <w:rFonts w:ascii="Arial" w:hAnsi="Arial" w:cs="Arial"/>
                          <w:b/>
                          <w:bCs/>
                          <w:color w:val="244061" w:themeColor="accent1" w:themeShade="80"/>
                          <w:kern w:val="24"/>
                          <w:sz w:val="44"/>
                          <w:szCs w:val="44"/>
                        </w:rPr>
                        <w:t>Product Description</w:t>
                      </w:r>
                    </w:p>
                  </w:txbxContent>
                </v:textbox>
                <w10:wrap type="square"/>
              </v:shape>
            </w:pict>
          </mc:Fallback>
        </mc:AlternateContent>
      </w:r>
      <w:r w:rsidR="00101EFA" w:rsidRPr="00101EFA">
        <w:rPr>
          <w:noProof/>
        </w:rPr>
        <w:drawing>
          <wp:inline distT="0" distB="0" distL="0" distR="0" wp14:anchorId="5018293B" wp14:editId="0E5D9543">
            <wp:extent cx="2566035" cy="779190"/>
            <wp:effectExtent l="0" t="0" r="0" b="825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astwind_Large.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567228" cy="779552"/>
                    </a:xfrm>
                    <a:prstGeom prst="rect">
                      <a:avLst/>
                    </a:prstGeom>
                  </pic:spPr>
                </pic:pic>
              </a:graphicData>
            </a:graphic>
          </wp:inline>
        </w:drawing>
      </w:r>
      <w:r w:rsidR="00101EFA">
        <w:tab/>
      </w:r>
      <w:r w:rsidR="00101EFA">
        <w:tab/>
      </w:r>
      <w:r w:rsidR="00101EFA">
        <w:tab/>
      </w:r>
      <w:r w:rsidR="00101EFA">
        <w:tab/>
      </w:r>
    </w:p>
    <w:p w14:paraId="60226B4E" w14:textId="4271F306" w:rsidR="007E2B5F" w:rsidRDefault="00D872A2">
      <w:r>
        <w:t xml:space="preserve">           </w:t>
      </w:r>
      <w:r>
        <w:rPr>
          <w:noProof/>
        </w:rPr>
        <w:drawing>
          <wp:inline distT="0" distB="0" distL="0" distR="0" wp14:anchorId="7A38CCE4" wp14:editId="70193F16">
            <wp:extent cx="6120765" cy="899412"/>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cle_AWS.png"/>
                    <pic:cNvPicPr/>
                  </pic:nvPicPr>
                  <pic:blipFill>
                    <a:blip r:embed="rId9">
                      <a:extLst>
                        <a:ext uri="{28A0092B-C50C-407E-A947-70E740481C1C}">
                          <a14:useLocalDpi xmlns:a14="http://schemas.microsoft.com/office/drawing/2010/main" val="0"/>
                        </a:ext>
                      </a:extLst>
                    </a:blip>
                    <a:stretch>
                      <a:fillRect/>
                    </a:stretch>
                  </pic:blipFill>
                  <pic:spPr>
                    <a:xfrm>
                      <a:off x="0" y="0"/>
                      <a:ext cx="6120765" cy="899412"/>
                    </a:xfrm>
                    <a:prstGeom prst="rect">
                      <a:avLst/>
                    </a:prstGeom>
                  </pic:spPr>
                </pic:pic>
              </a:graphicData>
            </a:graphic>
          </wp:inline>
        </w:drawing>
      </w:r>
      <w:r w:rsidR="00DC7A78" w:rsidRPr="00DC7A78">
        <w:rPr>
          <w:noProof/>
        </w:rPr>
        <w:drawing>
          <wp:inline distT="0" distB="0" distL="0" distR="0" wp14:anchorId="7BDD5D31" wp14:editId="764D1862">
            <wp:extent cx="7018011" cy="154940"/>
            <wp:effectExtent l="0" t="0" r="0" b="0"/>
            <wp:docPr id="1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0"/>
                    <a:srcRect l="-508" t="15153" r="-508" b="73623"/>
                    <a:stretch/>
                  </pic:blipFill>
                  <pic:spPr>
                    <a:xfrm>
                      <a:off x="0" y="0"/>
                      <a:ext cx="7023735" cy="155066"/>
                    </a:xfrm>
                    <a:prstGeom prst="rect">
                      <a:avLst/>
                    </a:prstGeom>
                  </pic:spPr>
                </pic:pic>
              </a:graphicData>
            </a:graphic>
          </wp:inline>
        </w:drawing>
      </w:r>
    </w:p>
    <w:p w14:paraId="237B86D9" w14:textId="77777777" w:rsidR="00E50F9C" w:rsidRDefault="00E50F9C"/>
    <w:p w14:paraId="54F101CE" w14:textId="09EB5F76" w:rsidR="00E50F9C" w:rsidRPr="00C23748" w:rsidRDefault="008413F1">
      <w:pPr>
        <w:rPr>
          <w:rFonts w:asciiTheme="majorHAnsi" w:hAnsiTheme="majorHAnsi" w:cs="Arial"/>
          <w:b/>
          <w:color w:val="0F243E" w:themeColor="text2" w:themeShade="80"/>
          <w:sz w:val="40"/>
          <w:szCs w:val="40"/>
        </w:rPr>
        <w:sectPr w:rsidR="00E50F9C" w:rsidRPr="00C23748">
          <w:footerReference w:type="default" r:id="rId11"/>
          <w:pgSz w:w="12240" w:h="15840"/>
          <w:pgMar w:top="720" w:right="720" w:bottom="936" w:left="720" w:header="720" w:footer="864" w:gutter="0"/>
          <w:cols w:space="720"/>
        </w:sectPr>
      </w:pPr>
      <w:r>
        <w:rPr>
          <w:rFonts w:asciiTheme="majorHAnsi" w:hAnsiTheme="majorHAnsi" w:cs="Arial"/>
          <w:b/>
          <w:color w:val="0F243E" w:themeColor="text2" w:themeShade="80"/>
          <w:sz w:val="40"/>
          <w:szCs w:val="40"/>
        </w:rPr>
        <w:t>Providing A Practical Solution For Deploying Oracle SBCs in AWS</w:t>
      </w:r>
    </w:p>
    <w:p w14:paraId="3CDF26E9" w14:textId="77777777" w:rsidR="00101EFA" w:rsidRPr="00C8674C" w:rsidRDefault="003D4AC5">
      <w:pPr>
        <w:rPr>
          <w:rFonts w:ascii="Calibri" w:hAnsi="Calibri"/>
          <w:b/>
          <w:sz w:val="32"/>
          <w:szCs w:val="32"/>
        </w:rPr>
      </w:pPr>
      <w:r w:rsidRPr="00C8674C">
        <w:rPr>
          <w:rFonts w:asciiTheme="majorHAnsi" w:hAnsiTheme="majorHAnsi"/>
          <w:b/>
          <w:sz w:val="32"/>
          <w:szCs w:val="32"/>
        </w:rPr>
        <w:lastRenderedPageBreak/>
        <w:t>Overview</w:t>
      </w:r>
      <w:r w:rsidRPr="00C8674C">
        <w:rPr>
          <w:rFonts w:ascii="Calibri" w:hAnsi="Calibri"/>
          <w:b/>
          <w:sz w:val="32"/>
          <w:szCs w:val="32"/>
        </w:rPr>
        <w:t xml:space="preserve"> </w:t>
      </w:r>
    </w:p>
    <w:p w14:paraId="10CB2E7D" w14:textId="6898D6FD" w:rsidR="00CD3BC8" w:rsidRDefault="00B9683D" w:rsidP="004A4237">
      <w:pPr>
        <w:rPr>
          <w:rFonts w:ascii="Calibri" w:hAnsi="Calibri"/>
        </w:rPr>
      </w:pPr>
      <w:r>
        <w:rPr>
          <w:rFonts w:ascii="Calibri" w:hAnsi="Calibri"/>
        </w:rPr>
        <w:t xml:space="preserve">As an industry leader, Oracle has sold and deployed thousands of SBCs in </w:t>
      </w:r>
      <w:proofErr w:type="spellStart"/>
      <w:r>
        <w:rPr>
          <w:rFonts w:ascii="Calibri" w:hAnsi="Calibri"/>
        </w:rPr>
        <w:t>colos</w:t>
      </w:r>
      <w:proofErr w:type="spellEnd"/>
      <w:r>
        <w:rPr>
          <w:rFonts w:ascii="Calibri" w:hAnsi="Calibri"/>
        </w:rPr>
        <w:t xml:space="preserve">, on premises, in central offices, and in private clouds.  However, the VoIP landscape is evolving.  Public clouds (today led by AWS) are hosting more and more applications and real time communications </w:t>
      </w:r>
      <w:r w:rsidR="001E43C1">
        <w:rPr>
          <w:rFonts w:ascii="Calibri" w:hAnsi="Calibri"/>
        </w:rPr>
        <w:t>(RTC) service</w:t>
      </w:r>
      <w:r>
        <w:rPr>
          <w:rFonts w:ascii="Calibri" w:hAnsi="Calibri"/>
        </w:rPr>
        <w:t xml:space="preserve">s are just one of many </w:t>
      </w:r>
      <w:r w:rsidR="001E43C1">
        <w:rPr>
          <w:rFonts w:ascii="Calibri" w:hAnsi="Calibri"/>
        </w:rPr>
        <w:t xml:space="preserve">applications </w:t>
      </w:r>
      <w:r>
        <w:rPr>
          <w:rFonts w:ascii="Calibri" w:hAnsi="Calibri"/>
        </w:rPr>
        <w:t>that enterprises and service providers are</w:t>
      </w:r>
      <w:r w:rsidR="001E43C1">
        <w:rPr>
          <w:rFonts w:ascii="Calibri" w:hAnsi="Calibri"/>
        </w:rPr>
        <w:t xml:space="preserve"> looking to move to the cloud.  When offering any type of RTC service a session border controller (SBC) is required.  While SBCs have been virtualized, </w:t>
      </w:r>
      <w:r w:rsidR="0043749D">
        <w:rPr>
          <w:rFonts w:ascii="Calibri" w:hAnsi="Calibri"/>
        </w:rPr>
        <w:t>deploy</w:t>
      </w:r>
      <w:r w:rsidR="001E43C1">
        <w:rPr>
          <w:rFonts w:ascii="Calibri" w:hAnsi="Calibri"/>
        </w:rPr>
        <w:t xml:space="preserve">ing the virtualized systems in a public cloud raises several issues </w:t>
      </w:r>
      <w:r w:rsidR="00CD3BC8">
        <w:rPr>
          <w:rFonts w:ascii="Calibri" w:hAnsi="Calibri"/>
        </w:rPr>
        <w:t xml:space="preserve">depending on the internal architecture of the SBC.  </w:t>
      </w:r>
    </w:p>
    <w:p w14:paraId="148850ED" w14:textId="3E00BA6B" w:rsidR="004A4237" w:rsidRDefault="00CD3BC8" w:rsidP="004A4237">
      <w:pPr>
        <w:rPr>
          <w:rFonts w:ascii="Calibri" w:hAnsi="Calibri"/>
        </w:rPr>
      </w:pPr>
      <w:r>
        <w:rPr>
          <w:rFonts w:ascii="Calibri" w:hAnsi="Calibri"/>
        </w:rPr>
        <w:t xml:space="preserve">With Oracle, </w:t>
      </w:r>
      <w:proofErr w:type="gramStart"/>
      <w:r>
        <w:rPr>
          <w:rFonts w:ascii="Calibri" w:hAnsi="Calibri"/>
        </w:rPr>
        <w:t>the internal SBC architecture issues are compounded by comm</w:t>
      </w:r>
      <w:r w:rsidR="00127094">
        <w:rPr>
          <w:rFonts w:ascii="Calibri" w:hAnsi="Calibri"/>
        </w:rPr>
        <w:t>ercial issues regarding Oracle support for deployments in</w:t>
      </w:r>
      <w:r>
        <w:rPr>
          <w:rFonts w:ascii="Calibri" w:hAnsi="Calibri"/>
        </w:rPr>
        <w:t xml:space="preserve"> competitive cloud providers</w:t>
      </w:r>
      <w:proofErr w:type="gramEnd"/>
      <w:r>
        <w:rPr>
          <w:rFonts w:ascii="Calibri" w:hAnsi="Calibri"/>
        </w:rPr>
        <w:t xml:space="preserve">.  </w:t>
      </w:r>
      <w:proofErr w:type="spellStart"/>
      <w:r>
        <w:rPr>
          <w:rFonts w:ascii="Calibri" w:hAnsi="Calibri"/>
        </w:rPr>
        <w:t>Eastwind</w:t>
      </w:r>
      <w:proofErr w:type="spellEnd"/>
      <w:r>
        <w:rPr>
          <w:rFonts w:ascii="Calibri" w:hAnsi="Calibri"/>
        </w:rPr>
        <w:t xml:space="preserve"> can help bridge the issues enabling Oracle users to leverage their SBC knowledge</w:t>
      </w:r>
      <w:r w:rsidR="0043749D">
        <w:rPr>
          <w:rFonts w:ascii="Calibri" w:hAnsi="Calibri"/>
        </w:rPr>
        <w:t xml:space="preserve"> and network wide licenses</w:t>
      </w:r>
      <w:r>
        <w:rPr>
          <w:rFonts w:ascii="Calibri" w:hAnsi="Calibri"/>
        </w:rPr>
        <w:t xml:space="preserve"> </w:t>
      </w:r>
      <w:r w:rsidR="0043749D">
        <w:rPr>
          <w:rFonts w:ascii="Calibri" w:hAnsi="Calibri"/>
        </w:rPr>
        <w:t>when they</w:t>
      </w:r>
      <w:r>
        <w:rPr>
          <w:rFonts w:ascii="Calibri" w:hAnsi="Calibri"/>
        </w:rPr>
        <w:t xml:space="preserve"> extend their networks into the AWS public cloud.  </w:t>
      </w:r>
      <w:proofErr w:type="spellStart"/>
      <w:r>
        <w:rPr>
          <w:rFonts w:ascii="Calibri" w:hAnsi="Calibri"/>
        </w:rPr>
        <w:t>Eastwind</w:t>
      </w:r>
      <w:proofErr w:type="spellEnd"/>
      <w:r>
        <w:rPr>
          <w:rFonts w:ascii="Calibri" w:hAnsi="Calibri"/>
        </w:rPr>
        <w:t xml:space="preserve"> can provide an AMI for the SBC along with hands-on technical assistance to install and configure the SBC in the cloud.  Equally important to the initial installation and configuration is the ability to troubleshoot and resolve issues.  The fact that Oracle will not work with AWS (or any public cloud provider) to troubleshoot issues presents a large problem for those looking to deploy the Oracle SBC in AWS. Again, </w:t>
      </w:r>
      <w:proofErr w:type="spellStart"/>
      <w:r>
        <w:rPr>
          <w:rFonts w:ascii="Calibri" w:hAnsi="Calibri"/>
        </w:rPr>
        <w:t>Eastwind</w:t>
      </w:r>
      <w:proofErr w:type="spellEnd"/>
      <w:r>
        <w:rPr>
          <w:rFonts w:ascii="Calibri" w:hAnsi="Calibri"/>
        </w:rPr>
        <w:t xml:space="preserve"> can bridge the gap.  </w:t>
      </w:r>
      <w:proofErr w:type="spellStart"/>
      <w:r>
        <w:rPr>
          <w:rFonts w:ascii="Calibri" w:hAnsi="Calibri"/>
        </w:rPr>
        <w:t>Eastwind</w:t>
      </w:r>
      <w:proofErr w:type="spellEnd"/>
      <w:r>
        <w:rPr>
          <w:rFonts w:ascii="Calibri" w:hAnsi="Calibri"/>
        </w:rPr>
        <w:t xml:space="preserve"> takes responsibility for working with AWS and Oracle to resolve any technical issues in deployments.   </w:t>
      </w:r>
    </w:p>
    <w:p w14:paraId="6BC67CCC" w14:textId="366F463B" w:rsidR="0043749D" w:rsidRDefault="0043749D" w:rsidP="004A4237">
      <w:pPr>
        <w:rPr>
          <w:rFonts w:eastAsia="Times New Roman"/>
        </w:rPr>
      </w:pPr>
      <w:r>
        <w:rPr>
          <w:rFonts w:ascii="Calibri" w:hAnsi="Calibri"/>
        </w:rPr>
        <w:t xml:space="preserve">For many users today, AWS is a vehicle for international expansion.  Many users have existing hardware-based deployments, but </w:t>
      </w:r>
      <w:r w:rsidR="000D2E45">
        <w:rPr>
          <w:rFonts w:ascii="Calibri" w:hAnsi="Calibri"/>
        </w:rPr>
        <w:t xml:space="preserve">they </w:t>
      </w:r>
      <w:r>
        <w:rPr>
          <w:rFonts w:ascii="Calibri" w:hAnsi="Calibri"/>
        </w:rPr>
        <w:t>view a public cloud as a cost-effective option to turn up remote points-of-presence</w:t>
      </w:r>
      <w:r w:rsidR="000D2E45">
        <w:rPr>
          <w:rFonts w:ascii="Calibri" w:hAnsi="Calibri"/>
        </w:rPr>
        <w:t xml:space="preserve"> with a minimal financial commitment</w:t>
      </w:r>
      <w:r>
        <w:rPr>
          <w:rFonts w:ascii="Calibri" w:hAnsi="Calibri"/>
        </w:rPr>
        <w:t xml:space="preserve">.  </w:t>
      </w:r>
      <w:r w:rsidR="000D2E45">
        <w:rPr>
          <w:rFonts w:ascii="Calibri" w:hAnsi="Calibri"/>
        </w:rPr>
        <w:t xml:space="preserve">The Oracle SBC VNF is a great fit for that type of deployment.  </w:t>
      </w:r>
      <w:proofErr w:type="spellStart"/>
      <w:r>
        <w:rPr>
          <w:rFonts w:ascii="Calibri" w:hAnsi="Calibri"/>
        </w:rPr>
        <w:t>Eastwind</w:t>
      </w:r>
      <w:proofErr w:type="spellEnd"/>
      <w:r>
        <w:rPr>
          <w:rFonts w:ascii="Calibri" w:hAnsi="Calibri"/>
        </w:rPr>
        <w:t xml:space="preserve"> </w:t>
      </w:r>
      <w:r w:rsidR="000D2E45">
        <w:rPr>
          <w:rFonts w:ascii="Calibri" w:hAnsi="Calibri"/>
        </w:rPr>
        <w:t>(US-based)</w:t>
      </w:r>
      <w:r>
        <w:rPr>
          <w:rFonts w:ascii="Calibri" w:hAnsi="Calibri"/>
        </w:rPr>
        <w:t xml:space="preserve"> has </w:t>
      </w:r>
      <w:r w:rsidR="000D2E45">
        <w:rPr>
          <w:rFonts w:ascii="Calibri" w:hAnsi="Calibri"/>
        </w:rPr>
        <w:t xml:space="preserve">years of </w:t>
      </w:r>
      <w:r>
        <w:rPr>
          <w:rFonts w:ascii="Calibri" w:hAnsi="Calibri"/>
        </w:rPr>
        <w:t>experience working on worldwide deployments</w:t>
      </w:r>
      <w:r w:rsidRPr="0043749D">
        <w:rPr>
          <w:rFonts w:ascii="Calibri" w:hAnsi="Calibri"/>
        </w:rPr>
        <w:t xml:space="preserve"> </w:t>
      </w:r>
      <w:r>
        <w:rPr>
          <w:rFonts w:ascii="Calibri" w:hAnsi="Calibri"/>
        </w:rPr>
        <w:t xml:space="preserve">on a 7x24 basis.  </w:t>
      </w:r>
      <w:r w:rsidR="000D2E45">
        <w:rPr>
          <w:rFonts w:ascii="Calibri" w:hAnsi="Calibri"/>
        </w:rPr>
        <w:t xml:space="preserve">However, AWS does have its deviations from region to region.  </w:t>
      </w:r>
      <w:proofErr w:type="spellStart"/>
      <w:r w:rsidR="000D2E45">
        <w:rPr>
          <w:rFonts w:ascii="Calibri" w:hAnsi="Calibri"/>
        </w:rPr>
        <w:t>Eastwind</w:t>
      </w:r>
      <w:proofErr w:type="spellEnd"/>
      <w:r w:rsidR="000D2E45">
        <w:rPr>
          <w:rFonts w:ascii="Calibri" w:hAnsi="Calibri"/>
        </w:rPr>
        <w:t xml:space="preserve"> has experience working in multiple regions and we always deploy a system ourselves in the specific region our customers are looking to deploy in before we work on a customer system.  </w:t>
      </w:r>
    </w:p>
    <w:p w14:paraId="4CDB0FF9" w14:textId="086ED9E5" w:rsidR="0030679A" w:rsidRDefault="00D07290" w:rsidP="00F44014">
      <w:pPr>
        <w:jc w:val="center"/>
        <w:rPr>
          <w:rFonts w:ascii="Calibri" w:hAnsi="Calibri"/>
        </w:rPr>
      </w:pPr>
      <w:r>
        <w:rPr>
          <w:rFonts w:ascii="Calibri" w:hAnsi="Calibri"/>
          <w:noProof/>
        </w:rPr>
        <w:lastRenderedPageBreak/>
        <w:drawing>
          <wp:inline distT="0" distB="0" distL="0" distR="0" wp14:anchorId="26C30761" wp14:editId="31668DA1">
            <wp:extent cx="5522506" cy="37340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Qual Screen 180409.png"/>
                    <pic:cNvPicPr/>
                  </pic:nvPicPr>
                  <pic:blipFill>
                    <a:blip r:embed="rId12">
                      <a:extLst>
                        <a:ext uri="{28A0092B-C50C-407E-A947-70E740481C1C}">
                          <a14:useLocalDpi xmlns:a14="http://schemas.microsoft.com/office/drawing/2010/main" val="0"/>
                        </a:ext>
                      </a:extLst>
                    </a:blip>
                    <a:stretch>
                      <a:fillRect/>
                    </a:stretch>
                  </pic:blipFill>
                  <pic:spPr>
                    <a:xfrm>
                      <a:off x="0" y="0"/>
                      <a:ext cx="5522506" cy="3734036"/>
                    </a:xfrm>
                    <a:prstGeom prst="rect">
                      <a:avLst/>
                    </a:prstGeom>
                  </pic:spPr>
                </pic:pic>
              </a:graphicData>
            </a:graphic>
          </wp:inline>
        </w:drawing>
      </w:r>
    </w:p>
    <w:p w14:paraId="33CCE531" w14:textId="4FBB5F50" w:rsidR="0030679A" w:rsidRPr="00091921" w:rsidRDefault="00091921" w:rsidP="00116B8B">
      <w:pPr>
        <w:rPr>
          <w:rFonts w:ascii="Calibri" w:hAnsi="Calibri"/>
          <w:b/>
        </w:rPr>
      </w:pPr>
      <w:r>
        <w:rPr>
          <w:rFonts w:ascii="Calibri" w:hAnsi="Calibri"/>
          <w:b/>
        </w:rPr>
        <w:t>Figure 1 –</w:t>
      </w:r>
      <w:r w:rsidR="00F44014">
        <w:rPr>
          <w:rFonts w:ascii="Calibri" w:hAnsi="Calibri"/>
          <w:b/>
        </w:rPr>
        <w:t xml:space="preserve">HMR Development Work Required to Successfully Pass Through the AWS Firewall </w:t>
      </w:r>
    </w:p>
    <w:p w14:paraId="56816855" w14:textId="77777777" w:rsidR="0030679A" w:rsidRDefault="0030679A" w:rsidP="00116B8B">
      <w:pPr>
        <w:rPr>
          <w:rFonts w:ascii="Calibri" w:hAnsi="Calibri"/>
        </w:rPr>
      </w:pPr>
    </w:p>
    <w:p w14:paraId="28CF77D2" w14:textId="01CD1D0F" w:rsidR="007414E9" w:rsidRDefault="000D2E45" w:rsidP="00116B8B">
      <w:pPr>
        <w:rPr>
          <w:rFonts w:asciiTheme="majorHAnsi" w:hAnsiTheme="majorHAnsi"/>
          <w:b/>
          <w:sz w:val="32"/>
          <w:szCs w:val="32"/>
        </w:rPr>
      </w:pPr>
      <w:r>
        <w:rPr>
          <w:rFonts w:asciiTheme="majorHAnsi" w:hAnsiTheme="majorHAnsi"/>
          <w:b/>
          <w:sz w:val="32"/>
          <w:szCs w:val="32"/>
        </w:rPr>
        <w:t>How Does The Process Work</w:t>
      </w:r>
    </w:p>
    <w:p w14:paraId="36EA3DBE" w14:textId="77777777" w:rsidR="00125B85" w:rsidRDefault="000D2E45" w:rsidP="006D537A">
      <w:pPr>
        <w:rPr>
          <w:rFonts w:ascii="Calibri" w:hAnsi="Calibri"/>
        </w:rPr>
      </w:pPr>
      <w:r>
        <w:rPr>
          <w:rFonts w:ascii="Calibri" w:hAnsi="Calibri"/>
        </w:rPr>
        <w:t xml:space="preserve">From a sales perspective </w:t>
      </w:r>
      <w:proofErr w:type="spellStart"/>
      <w:r>
        <w:rPr>
          <w:rFonts w:ascii="Calibri" w:hAnsi="Calibri"/>
        </w:rPr>
        <w:t>Eastwind</w:t>
      </w:r>
      <w:proofErr w:type="spellEnd"/>
      <w:r>
        <w:rPr>
          <w:rFonts w:ascii="Calibri" w:hAnsi="Calibri"/>
        </w:rPr>
        <w:t xml:space="preserve">, as an Oracle OEM, can sell, deploy, configure, train, and support users in their AWS deployments.  However, regardless of where a user purchases the SBC software, </w:t>
      </w:r>
      <w:proofErr w:type="spellStart"/>
      <w:r>
        <w:rPr>
          <w:rFonts w:ascii="Calibri" w:hAnsi="Calibri"/>
        </w:rPr>
        <w:t>Eastwind</w:t>
      </w:r>
      <w:proofErr w:type="spellEnd"/>
      <w:r>
        <w:rPr>
          <w:rFonts w:ascii="Calibri" w:hAnsi="Calibri"/>
        </w:rPr>
        <w:t xml:space="preserve"> will gladly work with them on services.  </w:t>
      </w:r>
    </w:p>
    <w:p w14:paraId="235E699F" w14:textId="77777777" w:rsidR="00125B85" w:rsidRDefault="00125B85" w:rsidP="006D537A">
      <w:pPr>
        <w:rPr>
          <w:rFonts w:ascii="Calibri" w:hAnsi="Calibri"/>
        </w:rPr>
      </w:pPr>
      <w:r>
        <w:rPr>
          <w:rFonts w:ascii="Calibri" w:hAnsi="Calibri"/>
        </w:rPr>
        <w:t xml:space="preserve">Once </w:t>
      </w:r>
      <w:proofErr w:type="spellStart"/>
      <w:r>
        <w:rPr>
          <w:rFonts w:ascii="Calibri" w:hAnsi="Calibri"/>
        </w:rPr>
        <w:t>Eastwind</w:t>
      </w:r>
      <w:proofErr w:type="spellEnd"/>
      <w:r>
        <w:rPr>
          <w:rFonts w:ascii="Calibri" w:hAnsi="Calibri"/>
        </w:rPr>
        <w:t xml:space="preserve"> is engaged with a customer deployment, we will review the system requirements with the user prior to turning up the system.  Once we understand the final configuration goal, we enable the customer to access our AMI.  Once the AMI is deployed in the customer’s AWS instance, </w:t>
      </w:r>
      <w:proofErr w:type="spellStart"/>
      <w:r>
        <w:rPr>
          <w:rFonts w:ascii="Calibri" w:hAnsi="Calibri"/>
        </w:rPr>
        <w:t>Eastwind</w:t>
      </w:r>
      <w:proofErr w:type="spellEnd"/>
      <w:r>
        <w:rPr>
          <w:rFonts w:ascii="Calibri" w:hAnsi="Calibri"/>
        </w:rPr>
        <w:t xml:space="preserve"> then builds the header manipulation rules enabling the system to function properly in the AWS environment.  Once the system is operational, customers can configure the system as they would for any SBC deployment.  </w:t>
      </w:r>
    </w:p>
    <w:p w14:paraId="1B0D4B78" w14:textId="6543E2F9" w:rsidR="00091921" w:rsidRDefault="00125B85" w:rsidP="006D537A">
      <w:pPr>
        <w:rPr>
          <w:rFonts w:ascii="Calibri" w:hAnsi="Calibri"/>
        </w:rPr>
      </w:pPr>
      <w:r>
        <w:rPr>
          <w:rFonts w:ascii="Calibri" w:hAnsi="Calibri"/>
        </w:rPr>
        <w:t xml:space="preserve">After the system is operational, </w:t>
      </w:r>
      <w:proofErr w:type="spellStart"/>
      <w:r>
        <w:rPr>
          <w:rFonts w:ascii="Calibri" w:hAnsi="Calibri"/>
        </w:rPr>
        <w:t>Eastwind</w:t>
      </w:r>
      <w:proofErr w:type="spellEnd"/>
      <w:r>
        <w:rPr>
          <w:rFonts w:ascii="Calibri" w:hAnsi="Calibri"/>
        </w:rPr>
        <w:t xml:space="preserve"> continues to support the customer.  Due to the nature of the deployment in AWS, </w:t>
      </w:r>
      <w:proofErr w:type="spellStart"/>
      <w:r>
        <w:rPr>
          <w:rFonts w:ascii="Calibri" w:hAnsi="Calibri"/>
        </w:rPr>
        <w:t>Eastwind</w:t>
      </w:r>
      <w:proofErr w:type="spellEnd"/>
      <w:r>
        <w:rPr>
          <w:rFonts w:ascii="Calibri" w:hAnsi="Calibri"/>
        </w:rPr>
        <w:t xml:space="preserve"> needs to be in the middle working tickets with Oracle Support.  We gladly open and work any tickets on these systems with Oracle.  Customers reach </w:t>
      </w:r>
      <w:proofErr w:type="spellStart"/>
      <w:r>
        <w:rPr>
          <w:rFonts w:ascii="Calibri" w:hAnsi="Calibri"/>
        </w:rPr>
        <w:t>Eastwind</w:t>
      </w:r>
      <w:proofErr w:type="spellEnd"/>
      <w:r>
        <w:rPr>
          <w:rFonts w:ascii="Calibri" w:hAnsi="Calibri"/>
        </w:rPr>
        <w:t xml:space="preserve"> via our 7x24 Support </w:t>
      </w:r>
      <w:proofErr w:type="gramStart"/>
      <w:r>
        <w:rPr>
          <w:rFonts w:ascii="Calibri" w:hAnsi="Calibri"/>
        </w:rPr>
        <w:t>Line which</w:t>
      </w:r>
      <w:proofErr w:type="gramEnd"/>
      <w:r>
        <w:rPr>
          <w:rFonts w:ascii="Calibri" w:hAnsi="Calibri"/>
        </w:rPr>
        <w:t xml:space="preserve"> is staffed by trained engineers.  Also, when it comes time for a system software upgrade or if new IP interfaces are required, </w:t>
      </w:r>
      <w:proofErr w:type="spellStart"/>
      <w:r>
        <w:rPr>
          <w:rFonts w:ascii="Calibri" w:hAnsi="Calibri"/>
        </w:rPr>
        <w:t>Eastwind</w:t>
      </w:r>
      <w:proofErr w:type="spellEnd"/>
      <w:r>
        <w:rPr>
          <w:rFonts w:ascii="Calibri" w:hAnsi="Calibri"/>
        </w:rPr>
        <w:t xml:space="preserve"> will engage with the customer to configure these new capabilitie</w:t>
      </w:r>
      <w:r w:rsidR="00127094">
        <w:rPr>
          <w:rFonts w:ascii="Calibri" w:hAnsi="Calibri"/>
        </w:rPr>
        <w:t xml:space="preserve">s correctly with the requisite </w:t>
      </w:r>
      <w:r>
        <w:rPr>
          <w:rFonts w:ascii="Calibri" w:hAnsi="Calibri"/>
        </w:rPr>
        <w:t>HMR</w:t>
      </w:r>
      <w:r w:rsidR="00127094">
        <w:rPr>
          <w:rFonts w:ascii="Calibri" w:hAnsi="Calibri"/>
        </w:rPr>
        <w:t xml:space="preserve">s.  </w:t>
      </w:r>
    </w:p>
    <w:p w14:paraId="62732BCD" w14:textId="34DE8C2D" w:rsidR="00907D70" w:rsidRDefault="00907D70" w:rsidP="00116B8B">
      <w:pPr>
        <w:rPr>
          <w:rFonts w:eastAsia="Times New Roman"/>
        </w:rPr>
      </w:pPr>
    </w:p>
    <w:p w14:paraId="0DE53819" w14:textId="64F5EE4F" w:rsidR="00FD51A6" w:rsidRPr="00FD51A6" w:rsidRDefault="00FD51A6" w:rsidP="00FD51A6">
      <w:pPr>
        <w:rPr>
          <w:rFonts w:ascii="Calibri" w:hAnsi="Calibri"/>
        </w:rPr>
        <w:sectPr w:rsidR="00FD51A6" w:rsidRPr="00FD51A6" w:rsidSect="00642267">
          <w:type w:val="continuous"/>
          <w:pgSz w:w="12240" w:h="15840"/>
          <w:pgMar w:top="720" w:right="720" w:bottom="936" w:left="720" w:header="720" w:footer="864" w:gutter="0"/>
          <w:cols w:space="720"/>
        </w:sectPr>
      </w:pPr>
      <w:bookmarkStart w:id="0" w:name="_GoBack"/>
      <w:bookmarkEnd w:id="0"/>
    </w:p>
    <w:p w14:paraId="4943886F" w14:textId="77777777" w:rsidR="00642267" w:rsidRDefault="00642267" w:rsidP="00FD51A6">
      <w:pPr>
        <w:rPr>
          <w:rFonts w:ascii="Calibri" w:hAnsi="Calibri"/>
        </w:rPr>
      </w:pPr>
    </w:p>
    <w:sectPr w:rsidR="00642267" w:rsidSect="00116B8B">
      <w:type w:val="continuous"/>
      <w:pgSz w:w="12240" w:h="15840"/>
      <w:pgMar w:top="720" w:right="720" w:bottom="936" w:left="720" w:header="720" w:footer="864" w:gutter="0"/>
      <w:cols w:num="2"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4EC63E" w14:textId="77777777" w:rsidR="00125B85" w:rsidRDefault="00125B85">
      <w:pPr>
        <w:spacing w:after="0"/>
      </w:pPr>
      <w:r>
        <w:separator/>
      </w:r>
    </w:p>
  </w:endnote>
  <w:endnote w:type="continuationSeparator" w:id="0">
    <w:p w14:paraId="517DDC6A" w14:textId="77777777" w:rsidR="00125B85" w:rsidRDefault="00125B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9207C" w14:textId="77777777" w:rsidR="00125B85" w:rsidRPr="00CD023A" w:rsidRDefault="00125B85" w:rsidP="00116B8B">
    <w:pPr>
      <w:pStyle w:val="Footer"/>
      <w:tabs>
        <w:tab w:val="clear" w:pos="8640"/>
        <w:tab w:val="right" w:pos="10800"/>
      </w:tabs>
      <w:rPr>
        <w:rFonts w:ascii="Calibri" w:hAnsi="Calibri"/>
      </w:rPr>
    </w:pPr>
    <w:r>
      <w:rPr>
        <w:rFonts w:ascii="Calibri" w:hAnsi="Calibri"/>
        <w:noProof/>
      </w:rPr>
      <w:drawing>
        <wp:inline distT="0" distB="0" distL="0" distR="0" wp14:anchorId="64AB82A3" wp14:editId="22BF8840">
          <wp:extent cx="6426200" cy="711200"/>
          <wp:effectExtent l="0" t="0" r="0" b="0"/>
          <wp:docPr id="18" name="Picture 18" descr="doc_footer 080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c_footer 08071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6200" cy="711200"/>
                  </a:xfrm>
                  <a:prstGeom prst="rect">
                    <a:avLst/>
                  </a:prstGeom>
                  <a:noFill/>
                  <a:ln>
                    <a:noFill/>
                  </a:ln>
                </pic:spPr>
              </pic:pic>
            </a:graphicData>
          </a:graphic>
        </wp:inline>
      </w:drawing>
    </w:r>
    <w:r>
      <w:rPr>
        <w:rFonts w:ascii="Calibri" w:hAnsi="Calibri"/>
      </w:rPr>
      <w:tab/>
    </w:r>
    <w:r>
      <w:rPr>
        <w:rFonts w:ascii="Calibri" w:hAnsi="Calibri"/>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05812C" w14:textId="77777777" w:rsidR="00125B85" w:rsidRDefault="00125B85">
      <w:pPr>
        <w:spacing w:after="0"/>
      </w:pPr>
      <w:r>
        <w:separator/>
      </w:r>
    </w:p>
  </w:footnote>
  <w:footnote w:type="continuationSeparator" w:id="0">
    <w:p w14:paraId="340A80E5" w14:textId="77777777" w:rsidR="00125B85" w:rsidRDefault="00125B85">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22A01"/>
    <w:multiLevelType w:val="hybridMultilevel"/>
    <w:tmpl w:val="8696C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FE538B"/>
    <w:multiLevelType w:val="hybridMultilevel"/>
    <w:tmpl w:val="395E46A8"/>
    <w:lvl w:ilvl="0" w:tplc="6DC0D5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23A"/>
    <w:rsid w:val="000175AC"/>
    <w:rsid w:val="0003789B"/>
    <w:rsid w:val="00047F65"/>
    <w:rsid w:val="000847C8"/>
    <w:rsid w:val="00091921"/>
    <w:rsid w:val="000D2E45"/>
    <w:rsid w:val="000F4720"/>
    <w:rsid w:val="00101EFA"/>
    <w:rsid w:val="00116B8B"/>
    <w:rsid w:val="00125B85"/>
    <w:rsid w:val="00127094"/>
    <w:rsid w:val="00145CAB"/>
    <w:rsid w:val="00155F8B"/>
    <w:rsid w:val="001848AB"/>
    <w:rsid w:val="00192BBA"/>
    <w:rsid w:val="00194278"/>
    <w:rsid w:val="001E43C1"/>
    <w:rsid w:val="002528D3"/>
    <w:rsid w:val="002760F1"/>
    <w:rsid w:val="002C4F32"/>
    <w:rsid w:val="002E349E"/>
    <w:rsid w:val="00304097"/>
    <w:rsid w:val="0030679A"/>
    <w:rsid w:val="003152A4"/>
    <w:rsid w:val="0039661E"/>
    <w:rsid w:val="003C5A22"/>
    <w:rsid w:val="003D4AC5"/>
    <w:rsid w:val="004174EF"/>
    <w:rsid w:val="0043749D"/>
    <w:rsid w:val="004550DA"/>
    <w:rsid w:val="0046062C"/>
    <w:rsid w:val="00460EB2"/>
    <w:rsid w:val="00495872"/>
    <w:rsid w:val="004A4237"/>
    <w:rsid w:val="004B1C6D"/>
    <w:rsid w:val="004B5308"/>
    <w:rsid w:val="004D4F49"/>
    <w:rsid w:val="005214D2"/>
    <w:rsid w:val="0052764F"/>
    <w:rsid w:val="00531D9B"/>
    <w:rsid w:val="00542B3A"/>
    <w:rsid w:val="005457B9"/>
    <w:rsid w:val="0055776A"/>
    <w:rsid w:val="005813F1"/>
    <w:rsid w:val="005C0567"/>
    <w:rsid w:val="0060703D"/>
    <w:rsid w:val="00614E31"/>
    <w:rsid w:val="006354B7"/>
    <w:rsid w:val="0063661B"/>
    <w:rsid w:val="00642267"/>
    <w:rsid w:val="00685109"/>
    <w:rsid w:val="006A1521"/>
    <w:rsid w:val="006D537A"/>
    <w:rsid w:val="006E3D0B"/>
    <w:rsid w:val="00717A09"/>
    <w:rsid w:val="00723D74"/>
    <w:rsid w:val="007414E9"/>
    <w:rsid w:val="0076122F"/>
    <w:rsid w:val="007A369C"/>
    <w:rsid w:val="007B48EC"/>
    <w:rsid w:val="007D0AE8"/>
    <w:rsid w:val="007E2B5F"/>
    <w:rsid w:val="00803E13"/>
    <w:rsid w:val="00806A5B"/>
    <w:rsid w:val="00823270"/>
    <w:rsid w:val="0083235D"/>
    <w:rsid w:val="008413F1"/>
    <w:rsid w:val="008923D6"/>
    <w:rsid w:val="00893021"/>
    <w:rsid w:val="008D4664"/>
    <w:rsid w:val="008E2C32"/>
    <w:rsid w:val="008F58B9"/>
    <w:rsid w:val="008F65C5"/>
    <w:rsid w:val="00907D70"/>
    <w:rsid w:val="00911032"/>
    <w:rsid w:val="009238BF"/>
    <w:rsid w:val="0095097E"/>
    <w:rsid w:val="009A1578"/>
    <w:rsid w:val="009F7DAA"/>
    <w:rsid w:val="00A06148"/>
    <w:rsid w:val="00A1777C"/>
    <w:rsid w:val="00A41F32"/>
    <w:rsid w:val="00A5335A"/>
    <w:rsid w:val="00A61F41"/>
    <w:rsid w:val="00A77D78"/>
    <w:rsid w:val="00A924E3"/>
    <w:rsid w:val="00AE39E0"/>
    <w:rsid w:val="00B22D6D"/>
    <w:rsid w:val="00B57B0A"/>
    <w:rsid w:val="00B84F95"/>
    <w:rsid w:val="00B9104D"/>
    <w:rsid w:val="00B9683D"/>
    <w:rsid w:val="00C04012"/>
    <w:rsid w:val="00C170C3"/>
    <w:rsid w:val="00C23748"/>
    <w:rsid w:val="00C47202"/>
    <w:rsid w:val="00C8674C"/>
    <w:rsid w:val="00CD023A"/>
    <w:rsid w:val="00CD3BC8"/>
    <w:rsid w:val="00D07290"/>
    <w:rsid w:val="00D1432C"/>
    <w:rsid w:val="00D7292D"/>
    <w:rsid w:val="00D72FE1"/>
    <w:rsid w:val="00D82C44"/>
    <w:rsid w:val="00D872A2"/>
    <w:rsid w:val="00DA2666"/>
    <w:rsid w:val="00DB1EF5"/>
    <w:rsid w:val="00DC7A78"/>
    <w:rsid w:val="00DD0682"/>
    <w:rsid w:val="00E151CA"/>
    <w:rsid w:val="00E15AF1"/>
    <w:rsid w:val="00E239C1"/>
    <w:rsid w:val="00E44A7A"/>
    <w:rsid w:val="00E50F9C"/>
    <w:rsid w:val="00E5555C"/>
    <w:rsid w:val="00E93F9B"/>
    <w:rsid w:val="00EC1398"/>
    <w:rsid w:val="00EF334C"/>
    <w:rsid w:val="00F44014"/>
    <w:rsid w:val="00FA3568"/>
    <w:rsid w:val="00FA7F0B"/>
    <w:rsid w:val="00FD51A6"/>
    <w:rsid w:val="00FE1D1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3759F9A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Strong" w:uiPriority="22" w:qFormat="1"/>
    <w:lsdException w:name="Normal (Web)" w:uiPriority="99"/>
  </w:latentStyles>
  <w:style w:type="paragraph" w:default="1" w:styleId="Normal">
    <w:name w:val="Normal"/>
    <w:qFormat/>
    <w:rsid w:val="004B6FC2"/>
    <w:pPr>
      <w:spacing w:after="20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023A"/>
    <w:pPr>
      <w:tabs>
        <w:tab w:val="center" w:pos="4320"/>
        <w:tab w:val="right" w:pos="8640"/>
      </w:tabs>
      <w:spacing w:after="0"/>
    </w:pPr>
  </w:style>
  <w:style w:type="character" w:customStyle="1" w:styleId="HeaderChar">
    <w:name w:val="Header Char"/>
    <w:link w:val="Header"/>
    <w:uiPriority w:val="99"/>
    <w:rsid w:val="00CD023A"/>
    <w:rPr>
      <w:sz w:val="24"/>
      <w:szCs w:val="24"/>
    </w:rPr>
  </w:style>
  <w:style w:type="paragraph" w:styleId="Footer">
    <w:name w:val="footer"/>
    <w:basedOn w:val="Normal"/>
    <w:link w:val="FooterChar"/>
    <w:uiPriority w:val="99"/>
    <w:unhideWhenUsed/>
    <w:rsid w:val="00CD023A"/>
    <w:pPr>
      <w:tabs>
        <w:tab w:val="center" w:pos="4320"/>
        <w:tab w:val="right" w:pos="8640"/>
      </w:tabs>
      <w:spacing w:after="0"/>
    </w:pPr>
  </w:style>
  <w:style w:type="character" w:customStyle="1" w:styleId="FooterChar">
    <w:name w:val="Footer Char"/>
    <w:link w:val="Footer"/>
    <w:uiPriority w:val="99"/>
    <w:rsid w:val="00CD023A"/>
    <w:rPr>
      <w:sz w:val="24"/>
      <w:szCs w:val="24"/>
    </w:rPr>
  </w:style>
  <w:style w:type="paragraph" w:styleId="BalloonText">
    <w:name w:val="Balloon Text"/>
    <w:basedOn w:val="Normal"/>
    <w:link w:val="BalloonTextChar"/>
    <w:rsid w:val="00803E13"/>
    <w:pPr>
      <w:spacing w:after="0"/>
    </w:pPr>
    <w:rPr>
      <w:rFonts w:ascii="Lucida Grande" w:hAnsi="Lucida Grande"/>
      <w:sz w:val="18"/>
      <w:szCs w:val="18"/>
    </w:rPr>
  </w:style>
  <w:style w:type="character" w:customStyle="1" w:styleId="BalloonTextChar">
    <w:name w:val="Balloon Text Char"/>
    <w:basedOn w:val="DefaultParagraphFont"/>
    <w:link w:val="BalloonText"/>
    <w:rsid w:val="00803E13"/>
    <w:rPr>
      <w:rFonts w:ascii="Lucida Grande" w:hAnsi="Lucida Grande"/>
      <w:sz w:val="18"/>
      <w:szCs w:val="18"/>
    </w:rPr>
  </w:style>
  <w:style w:type="paragraph" w:styleId="NormalWeb">
    <w:name w:val="Normal (Web)"/>
    <w:basedOn w:val="Normal"/>
    <w:uiPriority w:val="99"/>
    <w:unhideWhenUsed/>
    <w:rsid w:val="00101EFA"/>
    <w:pPr>
      <w:spacing w:before="100" w:beforeAutospacing="1" w:after="100" w:afterAutospacing="1"/>
    </w:pPr>
    <w:rPr>
      <w:rFonts w:ascii="Times" w:eastAsiaTheme="minorEastAsia" w:hAnsi="Times"/>
      <w:sz w:val="20"/>
      <w:szCs w:val="20"/>
    </w:rPr>
  </w:style>
  <w:style w:type="paragraph" w:styleId="ListParagraph">
    <w:name w:val="List Paragraph"/>
    <w:basedOn w:val="Normal"/>
    <w:rsid w:val="008923D6"/>
    <w:pPr>
      <w:ind w:left="720"/>
      <w:contextualSpacing/>
    </w:pPr>
  </w:style>
  <w:style w:type="character" w:styleId="Strong">
    <w:name w:val="Strong"/>
    <w:basedOn w:val="DefaultParagraphFont"/>
    <w:uiPriority w:val="22"/>
    <w:qFormat/>
    <w:rsid w:val="0030679A"/>
    <w:rPr>
      <w:b/>
      <w:bCs/>
    </w:rPr>
  </w:style>
  <w:style w:type="character" w:styleId="Hyperlink">
    <w:name w:val="Hyperlink"/>
    <w:basedOn w:val="DefaultParagraphFont"/>
    <w:rsid w:val="004A423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Strong" w:uiPriority="22" w:qFormat="1"/>
    <w:lsdException w:name="Normal (Web)" w:uiPriority="99"/>
  </w:latentStyles>
  <w:style w:type="paragraph" w:default="1" w:styleId="Normal">
    <w:name w:val="Normal"/>
    <w:qFormat/>
    <w:rsid w:val="004B6FC2"/>
    <w:pPr>
      <w:spacing w:after="20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023A"/>
    <w:pPr>
      <w:tabs>
        <w:tab w:val="center" w:pos="4320"/>
        <w:tab w:val="right" w:pos="8640"/>
      </w:tabs>
      <w:spacing w:after="0"/>
    </w:pPr>
  </w:style>
  <w:style w:type="character" w:customStyle="1" w:styleId="HeaderChar">
    <w:name w:val="Header Char"/>
    <w:link w:val="Header"/>
    <w:uiPriority w:val="99"/>
    <w:rsid w:val="00CD023A"/>
    <w:rPr>
      <w:sz w:val="24"/>
      <w:szCs w:val="24"/>
    </w:rPr>
  </w:style>
  <w:style w:type="paragraph" w:styleId="Footer">
    <w:name w:val="footer"/>
    <w:basedOn w:val="Normal"/>
    <w:link w:val="FooterChar"/>
    <w:uiPriority w:val="99"/>
    <w:unhideWhenUsed/>
    <w:rsid w:val="00CD023A"/>
    <w:pPr>
      <w:tabs>
        <w:tab w:val="center" w:pos="4320"/>
        <w:tab w:val="right" w:pos="8640"/>
      </w:tabs>
      <w:spacing w:after="0"/>
    </w:pPr>
  </w:style>
  <w:style w:type="character" w:customStyle="1" w:styleId="FooterChar">
    <w:name w:val="Footer Char"/>
    <w:link w:val="Footer"/>
    <w:uiPriority w:val="99"/>
    <w:rsid w:val="00CD023A"/>
    <w:rPr>
      <w:sz w:val="24"/>
      <w:szCs w:val="24"/>
    </w:rPr>
  </w:style>
  <w:style w:type="paragraph" w:styleId="BalloonText">
    <w:name w:val="Balloon Text"/>
    <w:basedOn w:val="Normal"/>
    <w:link w:val="BalloonTextChar"/>
    <w:rsid w:val="00803E13"/>
    <w:pPr>
      <w:spacing w:after="0"/>
    </w:pPr>
    <w:rPr>
      <w:rFonts w:ascii="Lucida Grande" w:hAnsi="Lucida Grande"/>
      <w:sz w:val="18"/>
      <w:szCs w:val="18"/>
    </w:rPr>
  </w:style>
  <w:style w:type="character" w:customStyle="1" w:styleId="BalloonTextChar">
    <w:name w:val="Balloon Text Char"/>
    <w:basedOn w:val="DefaultParagraphFont"/>
    <w:link w:val="BalloonText"/>
    <w:rsid w:val="00803E13"/>
    <w:rPr>
      <w:rFonts w:ascii="Lucida Grande" w:hAnsi="Lucida Grande"/>
      <w:sz w:val="18"/>
      <w:szCs w:val="18"/>
    </w:rPr>
  </w:style>
  <w:style w:type="paragraph" w:styleId="NormalWeb">
    <w:name w:val="Normal (Web)"/>
    <w:basedOn w:val="Normal"/>
    <w:uiPriority w:val="99"/>
    <w:unhideWhenUsed/>
    <w:rsid w:val="00101EFA"/>
    <w:pPr>
      <w:spacing w:before="100" w:beforeAutospacing="1" w:after="100" w:afterAutospacing="1"/>
    </w:pPr>
    <w:rPr>
      <w:rFonts w:ascii="Times" w:eastAsiaTheme="minorEastAsia" w:hAnsi="Times"/>
      <w:sz w:val="20"/>
      <w:szCs w:val="20"/>
    </w:rPr>
  </w:style>
  <w:style w:type="paragraph" w:styleId="ListParagraph">
    <w:name w:val="List Paragraph"/>
    <w:basedOn w:val="Normal"/>
    <w:rsid w:val="008923D6"/>
    <w:pPr>
      <w:ind w:left="720"/>
      <w:contextualSpacing/>
    </w:pPr>
  </w:style>
  <w:style w:type="character" w:styleId="Strong">
    <w:name w:val="Strong"/>
    <w:basedOn w:val="DefaultParagraphFont"/>
    <w:uiPriority w:val="22"/>
    <w:qFormat/>
    <w:rsid w:val="0030679A"/>
    <w:rPr>
      <w:b/>
      <w:bCs/>
    </w:rPr>
  </w:style>
  <w:style w:type="character" w:styleId="Hyperlink">
    <w:name w:val="Hyperlink"/>
    <w:basedOn w:val="DefaultParagraphFont"/>
    <w:rsid w:val="004A42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image" Target="media/image5.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267</TotalTime>
  <Pages>2</Pages>
  <Words>560</Words>
  <Characters>3196</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Eastwind Communications Inc</Company>
  <LinksUpToDate>false</LinksUpToDate>
  <CharactersWithSpaces>3749</CharactersWithSpaces>
  <SharedDoc>false</SharedDoc>
  <HLinks>
    <vt:vector size="6" baseType="variant">
      <vt:variant>
        <vt:i4>3801165</vt:i4>
      </vt:variant>
      <vt:variant>
        <vt:i4>4876</vt:i4>
      </vt:variant>
      <vt:variant>
        <vt:i4>1025</vt:i4>
      </vt:variant>
      <vt:variant>
        <vt:i4>1</vt:i4>
      </vt:variant>
      <vt:variant>
        <vt:lpwstr>Eastwind Description 150615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Twomey</dc:creator>
  <cp:keywords/>
  <dc:description/>
  <cp:lastModifiedBy>Michael Twomey</cp:lastModifiedBy>
  <cp:revision>5</cp:revision>
  <cp:lastPrinted>2018-03-09T17:04:00Z</cp:lastPrinted>
  <dcterms:created xsi:type="dcterms:W3CDTF">2018-08-01T20:04:00Z</dcterms:created>
  <dcterms:modified xsi:type="dcterms:W3CDTF">2018-08-03T12:15:00Z</dcterms:modified>
</cp:coreProperties>
</file>